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INCREASED MORTALITY RISK DURING GRAVITATIONAL TRANSITION IN HEART DISEASE MODEL </w:t>
      </w:r>
    </w:p>
    <w:p w:rsidR="00BC58F6" w:rsidRDefault="00BC58F6">
      <w:pPr>
        <w:widowControl w:val="0"/>
        <w:autoSpaceDE w:val="0"/>
        <w:autoSpaceDN w:val="0"/>
        <w:adjustRightInd w:val="0"/>
      </w:pPr>
      <w:r w:rsidRPr="00BC58F6">
        <w:rPr>
          <w:b/>
          <w:bCs/>
          <w:u w:val="single"/>
        </w:rPr>
        <w:t>P. Rattanawong</w:t>
      </w:r>
      <w:r w:rsidRPr="00BC58F6">
        <w:rPr>
          <w:b/>
          <w:bCs/>
          <w:u w:val="single"/>
          <w:vertAlign w:val="superscript"/>
        </w:rPr>
        <w:t>1</w:t>
      </w:r>
      <w:r w:rsidR="00B921ED">
        <w:t>, W. Vuthikraivit</w:t>
      </w:r>
      <w:r w:rsidRPr="00BC58F6">
        <w:rPr>
          <w:vertAlign w:val="superscript"/>
        </w:rPr>
        <w:t>1</w:t>
      </w:r>
      <w:r w:rsidR="00B921ED">
        <w:t>, A. Charoensri</w:t>
      </w:r>
      <w:r w:rsidRPr="00BC58F6">
        <w:rPr>
          <w:vertAlign w:val="superscript"/>
        </w:rPr>
        <w:t>1</w:t>
      </w:r>
      <w:r w:rsidR="00B921ED">
        <w:t>, T. Bupha-Intr</w:t>
      </w:r>
      <w:r w:rsidRPr="00BC58F6">
        <w:rPr>
          <w:vertAlign w:val="superscript"/>
        </w:rPr>
        <w:t>2</w:t>
      </w:r>
      <w:r w:rsidR="00B921ED">
        <w:t>, T. Ngarmukos</w:t>
      </w:r>
      <w:r w:rsidRPr="00BC58F6">
        <w:rPr>
          <w:vertAlign w:val="superscript"/>
        </w:rPr>
        <w:t>1</w:t>
      </w:r>
      <w:r w:rsidR="00B921ED">
        <w:t xml:space="preserve">, </w:t>
      </w:r>
    </w:p>
    <w:p w:rsidR="0000004A" w:rsidRDefault="00B921ED" w:rsidP="0000004A">
      <w:pPr>
        <w:widowControl w:val="0"/>
        <w:autoSpaceDE w:val="0"/>
        <w:autoSpaceDN w:val="0"/>
        <w:adjustRightInd w:val="0"/>
      </w:pPr>
      <w:r>
        <w:t>S. Tantiphanwadi</w:t>
      </w:r>
      <w:r w:rsidR="00BC58F6" w:rsidRPr="00BC58F6">
        <w:rPr>
          <w:vertAlign w:val="superscript"/>
        </w:rPr>
        <w:t>3</w:t>
      </w:r>
      <w:r>
        <w:t>, A. Kijtawornra</w:t>
      </w:r>
      <w:r w:rsidR="00BC58F6" w:rsidRPr="00BC58F6">
        <w:rPr>
          <w:vertAlign w:val="superscript"/>
        </w:rPr>
        <w:t>4</w:t>
      </w:r>
      <w:r>
        <w:t xml:space="preserve">, </w:t>
      </w:r>
      <w:r w:rsidRPr="006C772A">
        <w:t>I. Miyoshi</w:t>
      </w:r>
      <w:r w:rsidR="00BC58F6" w:rsidRPr="006C772A">
        <w:rPr>
          <w:vertAlign w:val="superscript"/>
        </w:rPr>
        <w:t>5</w:t>
      </w:r>
      <w:r w:rsidR="0000004A">
        <w:t xml:space="preserve">, </w:t>
      </w:r>
      <w:r w:rsidR="0000004A" w:rsidRPr="0000004A">
        <w:rPr>
          <w:lang w:bidi="ar-SA"/>
        </w:rPr>
        <w:t>J. Wattanapermpool</w:t>
      </w:r>
      <w:r w:rsidR="0000004A" w:rsidRPr="0000004A">
        <w:rPr>
          <w:vertAlign w:val="superscript"/>
        </w:rPr>
        <w:t>2</w:t>
      </w:r>
    </w:p>
    <w:p w:rsidR="00B921ED" w:rsidRDefault="00BC58F6" w:rsidP="0000004A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1</w:t>
      </w:r>
      <w:r w:rsidR="00B921ED">
        <w:rPr>
          <w:color w:val="000000"/>
        </w:rPr>
        <w:t xml:space="preserve">Faculty of Medicine </w:t>
      </w:r>
      <w:proofErr w:type="spellStart"/>
      <w:r w:rsidR="00B921ED">
        <w:rPr>
          <w:color w:val="000000"/>
        </w:rPr>
        <w:t>Ramathibodi</w:t>
      </w:r>
      <w:proofErr w:type="spellEnd"/>
      <w:r w:rsidR="00B921ED">
        <w:rPr>
          <w:color w:val="000000"/>
        </w:rPr>
        <w:t xml:space="preserve"> Hospital, </w:t>
      </w:r>
      <w:proofErr w:type="spellStart"/>
      <w:r w:rsidR="00B921ED">
        <w:rPr>
          <w:color w:val="000000"/>
        </w:rPr>
        <w:t>Mahidol</w:t>
      </w:r>
      <w:proofErr w:type="spellEnd"/>
      <w:r w:rsidR="00B921ED">
        <w:rPr>
          <w:color w:val="000000"/>
        </w:rPr>
        <w:t xml:space="preserve"> University, Bangkok, Thailand, </w:t>
      </w:r>
      <w:r w:rsidRPr="00BC58F6">
        <w:rPr>
          <w:color w:val="000000"/>
          <w:vertAlign w:val="superscript"/>
        </w:rPr>
        <w:t>2</w:t>
      </w:r>
      <w:r w:rsidR="00B921ED">
        <w:rPr>
          <w:color w:val="000000"/>
        </w:rPr>
        <w:t>Dep</w:t>
      </w:r>
      <w:r>
        <w:rPr>
          <w:color w:val="000000"/>
        </w:rPr>
        <w:t>t.</w:t>
      </w:r>
      <w:r w:rsidR="00B921ED">
        <w:rPr>
          <w:color w:val="000000"/>
        </w:rPr>
        <w:t xml:space="preserve"> of Physiology, Faculty of Science, </w:t>
      </w:r>
      <w:proofErr w:type="spellStart"/>
      <w:r w:rsidR="00B921ED">
        <w:rPr>
          <w:color w:val="000000"/>
        </w:rPr>
        <w:t>Mahidol</w:t>
      </w:r>
      <w:proofErr w:type="spellEnd"/>
      <w:r w:rsidR="00B921ED">
        <w:rPr>
          <w:color w:val="000000"/>
        </w:rPr>
        <w:t xml:space="preserve"> University, Bangkok, Thailand, </w:t>
      </w:r>
      <w:r w:rsidRPr="00BC58F6">
        <w:rPr>
          <w:color w:val="000000"/>
          <w:vertAlign w:val="superscript"/>
        </w:rPr>
        <w:t>3</w:t>
      </w:r>
      <w:r w:rsidR="00B921ED">
        <w:rPr>
          <w:color w:val="000000"/>
        </w:rPr>
        <w:t xml:space="preserve">National Science and Technology Development Agency, </w:t>
      </w:r>
      <w:proofErr w:type="spellStart"/>
      <w:r w:rsidR="00B921ED">
        <w:rPr>
          <w:color w:val="000000"/>
        </w:rPr>
        <w:t>Pathumthani</w:t>
      </w:r>
      <w:proofErr w:type="spellEnd"/>
      <w:r w:rsidR="00B921ED">
        <w:rPr>
          <w:color w:val="000000"/>
        </w:rPr>
        <w:t xml:space="preserve">, Thailand, </w:t>
      </w:r>
      <w:bookmarkStart w:id="0" w:name="_GoBack"/>
      <w:bookmarkEnd w:id="0"/>
      <w:r w:rsidRPr="00BC58F6">
        <w:rPr>
          <w:color w:val="000000"/>
          <w:vertAlign w:val="superscript"/>
        </w:rPr>
        <w:t>4</w:t>
      </w:r>
      <w:r w:rsidR="00B921ED">
        <w:rPr>
          <w:color w:val="000000"/>
        </w:rPr>
        <w:t xml:space="preserve">Faculty of Veterinary Science, </w:t>
      </w:r>
      <w:proofErr w:type="spellStart"/>
      <w:r w:rsidR="00B921ED">
        <w:rPr>
          <w:color w:val="000000"/>
        </w:rPr>
        <w:t>Chulalongkorn</w:t>
      </w:r>
      <w:proofErr w:type="spellEnd"/>
      <w:r w:rsidR="00B921ED">
        <w:rPr>
          <w:color w:val="000000"/>
        </w:rPr>
        <w:t xml:space="preserve"> University, Bangkok, Thailand, </w:t>
      </w:r>
      <w:r w:rsidRPr="00BC58F6">
        <w:rPr>
          <w:color w:val="000000"/>
          <w:vertAlign w:val="superscript"/>
        </w:rPr>
        <w:t>5</w:t>
      </w:r>
      <w:r w:rsidR="00B921ED">
        <w:rPr>
          <w:color w:val="000000"/>
        </w:rPr>
        <w:t>Dep</w:t>
      </w:r>
      <w:r>
        <w:rPr>
          <w:color w:val="000000"/>
        </w:rPr>
        <w:t xml:space="preserve">t. </w:t>
      </w:r>
      <w:r w:rsidR="00B921ED">
        <w:rPr>
          <w:color w:val="000000"/>
        </w:rPr>
        <w:t>of Comparative and Experimental Medicine, Center for Experimental Animal Science, Nagoya City University Graduate School of Medical Sciences, Nagoya, Japan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BC58F6" w:rsidRDefault="00B921ED">
      <w:pPr>
        <w:widowControl w:val="0"/>
        <w:autoSpaceDE w:val="0"/>
        <w:autoSpaceDN w:val="0"/>
        <w:adjustRightInd w:val="0"/>
        <w:jc w:val="both"/>
      </w:pPr>
      <w:r>
        <w:t>Objectives: To examine the heart rate variability and QT during gravitational transition in heart disease model.</w:t>
      </w:r>
    </w:p>
    <w:p w:rsidR="00736A14" w:rsidRDefault="00B921ED" w:rsidP="00736A14">
      <w:pPr>
        <w:widowControl w:val="0"/>
        <w:autoSpaceDE w:val="0"/>
        <w:autoSpaceDN w:val="0"/>
        <w:adjustRightInd w:val="0"/>
        <w:jc w:val="both"/>
      </w:pPr>
      <w:r>
        <w:t>Background: Abruptly change in autonomic nervous activity on the heart during gravitational transition is a reflex maintaining homeostasis d</w:t>
      </w:r>
      <w:r w:rsidR="001969C2">
        <w:t xml:space="preserve">ue to hemodynamic alteration. </w:t>
      </w:r>
      <w:r>
        <w:t>However, change in autonomic nervous response in a heart disease patient who has high sympathetic activity has never been identified.</w:t>
      </w:r>
    </w:p>
    <w:p w:rsidR="00BC58F6" w:rsidRDefault="00B921ED">
      <w:pPr>
        <w:widowControl w:val="0"/>
        <w:autoSpaceDE w:val="0"/>
        <w:autoSpaceDN w:val="0"/>
        <w:adjustRightInd w:val="0"/>
        <w:jc w:val="both"/>
      </w:pPr>
      <w:r>
        <w:t xml:space="preserve">Methods: Electrocardiogram was continuously monitored in doxorubicin-induced </w:t>
      </w:r>
      <w:proofErr w:type="spellStart"/>
      <w:r>
        <w:t>cardiomypathic</w:t>
      </w:r>
      <w:proofErr w:type="spellEnd"/>
      <w:r>
        <w:t xml:space="preserve"> (CM) guinea pig during gravitational transition in parabolic flight (provided by Japan Aerospace Exploration Agency) included three consecutive phases; </w:t>
      </w:r>
      <w:proofErr w:type="spellStart"/>
      <w:r>
        <w:t>normogravity</w:t>
      </w:r>
      <w:proofErr w:type="spellEnd"/>
      <w:r>
        <w:t xml:space="preserve">, </w:t>
      </w:r>
      <w:proofErr w:type="spellStart"/>
      <w:r>
        <w:t>hypergravity</w:t>
      </w:r>
      <w:proofErr w:type="spellEnd"/>
      <w:r>
        <w:t>, and microgravity. Time domain heart rate variability indices (standard deviation of the intervals (RRSD)), corrected QT interval (</w:t>
      </w:r>
      <w:proofErr w:type="spellStart"/>
      <w:r>
        <w:t>QTc</w:t>
      </w:r>
      <w:proofErr w:type="spellEnd"/>
      <w:r>
        <w:t>) and short-term QT variability (STVQT) were then evaluated.</w:t>
      </w:r>
    </w:p>
    <w:p w:rsidR="00BC58F6" w:rsidRDefault="00B921ED">
      <w:pPr>
        <w:widowControl w:val="0"/>
        <w:autoSpaceDE w:val="0"/>
        <w:autoSpaceDN w:val="0"/>
        <w:adjustRightInd w:val="0"/>
        <w:jc w:val="both"/>
      </w:pPr>
      <w:r>
        <w:t xml:space="preserve">Results: Doxorubicin induced cardiomyopathy with decreased RRSD and prolonged </w:t>
      </w:r>
      <w:proofErr w:type="spellStart"/>
      <w:r>
        <w:t>QTc</w:t>
      </w:r>
      <w:proofErr w:type="spellEnd"/>
      <w:r>
        <w:t xml:space="preserve"> interval indicating high risk of arrhythmia. </w:t>
      </w:r>
      <w:proofErr w:type="gramStart"/>
      <w:r>
        <w:t xml:space="preserve">Further decreased RRSD during </w:t>
      </w:r>
      <w:proofErr w:type="spellStart"/>
      <w:r>
        <w:t>hypergravity</w:t>
      </w:r>
      <w:proofErr w:type="spellEnd"/>
      <w:r>
        <w:t xml:space="preserve"> in CM points to an enhancement of ar</w:t>
      </w:r>
      <w:r w:rsidR="00BC58F6">
        <w:t>rhythmia risk in the CM heart.</w:t>
      </w:r>
      <w:proofErr w:type="gramEnd"/>
      <w:r w:rsidR="00BC58F6">
        <w:t xml:space="preserve"> </w:t>
      </w:r>
      <w:r>
        <w:t xml:space="preserve">In addition, a significant increase in STVQT during microgravity observed only in healthy control, but not in CM, implies a possibility of decreasing sympathetic stimulation in the CM heart. Surprisingly, prolonged </w:t>
      </w:r>
      <w:proofErr w:type="spellStart"/>
      <w:r>
        <w:t>QTc</w:t>
      </w:r>
      <w:proofErr w:type="spellEnd"/>
      <w:r>
        <w:t xml:space="preserve"> interval in CM group observed in </w:t>
      </w:r>
      <w:proofErr w:type="spellStart"/>
      <w:r>
        <w:t>normogravity</w:t>
      </w:r>
      <w:proofErr w:type="spellEnd"/>
      <w:r>
        <w:t xml:space="preserve"> was reduced to be close to that of control during microgravity.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Conclusion: Our study suggests that gravitational transition suddenly increases risk of mortality due to arrhythmia in heart disease model during the transition from </w:t>
      </w:r>
      <w:proofErr w:type="spellStart"/>
      <w:r>
        <w:t>normogravity</w:t>
      </w:r>
      <w:proofErr w:type="spellEnd"/>
      <w:r>
        <w:t xml:space="preserve"> to </w:t>
      </w:r>
      <w:proofErr w:type="spellStart"/>
      <w:r>
        <w:t>hypergravity</w:t>
      </w:r>
      <w:proofErr w:type="spellEnd"/>
      <w:r>
        <w:t xml:space="preserve">. In contrast, the reduction of </w:t>
      </w:r>
      <w:proofErr w:type="spellStart"/>
      <w:r>
        <w:t>QTc</w:t>
      </w:r>
      <w:proofErr w:type="spellEnd"/>
      <w:r>
        <w:t xml:space="preserve"> interval in CM group suggests a possible in decreased arrhythmia risk in microgravity.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C2" w:rsidRDefault="001969C2" w:rsidP="001969C2">
      <w:r>
        <w:separator/>
      </w:r>
    </w:p>
  </w:endnote>
  <w:endnote w:type="continuationSeparator" w:id="0">
    <w:p w:rsidR="001969C2" w:rsidRDefault="001969C2" w:rsidP="0019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C2" w:rsidRDefault="001969C2" w:rsidP="001969C2">
      <w:r>
        <w:separator/>
      </w:r>
    </w:p>
  </w:footnote>
  <w:footnote w:type="continuationSeparator" w:id="0">
    <w:p w:rsidR="001969C2" w:rsidRDefault="001969C2" w:rsidP="00196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C2" w:rsidRDefault="001969C2" w:rsidP="001969C2">
    <w:pPr>
      <w:pStyle w:val="Header"/>
    </w:pPr>
    <w:r>
      <w:t>1413, oral or poster, cat: 45</w:t>
    </w:r>
  </w:p>
  <w:p w:rsidR="001969C2" w:rsidRDefault="001969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00004A"/>
    <w:rsid w:val="001969C2"/>
    <w:rsid w:val="00447B2F"/>
    <w:rsid w:val="006C772A"/>
    <w:rsid w:val="00736A14"/>
    <w:rsid w:val="00B921ED"/>
    <w:rsid w:val="00BC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9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9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69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9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9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9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69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9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C9344DDA</Template>
  <TotalTime>13</TotalTime>
  <Pages>1</Pages>
  <Words>326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5</cp:revision>
  <dcterms:created xsi:type="dcterms:W3CDTF">2012-04-16T07:34:00Z</dcterms:created>
  <dcterms:modified xsi:type="dcterms:W3CDTF">2012-05-29T09:38:00Z</dcterms:modified>
</cp:coreProperties>
</file>